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567"/>
        </w:tabs>
        <w:spacing w:after="120" w:before="120"/>
        <w:ind w:hanging="720" w:left="720"/>
        <w:jc w:val="both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ПРИЛОГ 2: ИНФОРМАЦИЈА О РЕЗУЛТАТИМА РАДА У ОБЛАСТИ HSE</w:t>
      </w: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ИНФОРМАЦИЈА </w:t>
      </w:r>
      <w:r>
        <w:rPr>
          <w:rFonts w:ascii="Arial" w:hAnsi="Arial" w:cs="Arial"/>
          <w:b/>
          <w:sz w:val="24"/>
          <w:szCs w:val="24"/>
          <w:lang w:val="sr-Latn-RS"/>
        </w:rPr>
      </w:r>
      <w:r>
        <w:rPr>
          <w:rFonts w:ascii="Arial" w:hAnsi="Arial" w:cs="Arial"/>
          <w:b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о резултатима рада (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 xml:space="preserve">назив извођача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) у области 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HSE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 </w:t>
      </w:r>
      <w:r>
        <w:rPr>
          <w:rFonts w:ascii="Arial" w:hAnsi="Arial" w:cs="Arial"/>
          <w:b/>
          <w:sz w:val="24"/>
          <w:szCs w:val="24"/>
          <w:lang w:val="sr-Latn-RS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highlight w:val="none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</w:r>
      <w:r>
        <w:rPr>
          <w:rFonts w:ascii="Arial" w:hAnsi="Arial" w:cs="Arial"/>
          <w:b/>
          <w:sz w:val="24"/>
          <w:szCs w:val="24"/>
          <w:lang w:val="sr-Latn-RS"/>
        </w:rPr>
        <w:t xml:space="preserve">за месец ____________ 20__</w:t>
      </w:r>
      <w:r>
        <w:rPr>
          <w:rFonts w:ascii="Arial" w:hAnsi="Arial" w:cs="Arial"/>
          <w:b/>
          <w:sz w:val="24"/>
          <w:szCs w:val="24"/>
          <w:lang w:val="sr-Latn-RS"/>
        </w:rPr>
      </w:r>
      <w:r/>
    </w:p>
    <w:p>
      <w:pPr>
        <w:pBdr/>
        <w:spacing/>
        <w:ind/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highlight w:val="none"/>
          <w:lang w:val="sr-Latn-RS"/>
        </w:rPr>
      </w:r>
      <w:r>
        <w:rPr>
          <w:rFonts w:ascii="Arial" w:hAnsi="Arial" w:cs="Arial"/>
          <w:b/>
          <w:sz w:val="24"/>
          <w:szCs w:val="24"/>
          <w:highlight w:val="none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>
        <w:trPr>
          <w:trHeight w:val="255"/>
        </w:trPr>
        <w:tc>
          <w:tcPr>
            <w:tcBorders/>
            <w:tcW w:w="5387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Пуни назив и ПИБ предузећа (извођача/извршиоца)  </w:t>
            </w: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>
          <w:trHeight w:val="255"/>
        </w:trPr>
        <w:tc>
          <w:tcPr>
            <w:tcBorders/>
            <w:tcW w:w="5387" w:type="dxa"/>
            <w:vAlign w:val="center"/>
            <w:vMerge w:val="continue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Врста радова који се изводе на објектима Наручиоца  </w:t>
            </w: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 w:line="240" w:lineRule="exact"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>
          <w:trHeight w:val="395"/>
        </w:trPr>
        <w:tc>
          <w:tcPr>
            <w:tcBorders/>
            <w:tcW w:w="538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Назив објекта Наручиоца</w:t>
            </w: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Рок извођења радова према уговору (до 20</w:t>
            </w:r>
            <w:r>
              <w:rPr>
                <w:rFonts w:ascii="Arial" w:hAnsi="Arial" w:cs="Arial"/>
                <w:sz w:val="22"/>
                <w:lang w:val="sr-Cyrl-RS"/>
              </w:rPr>
              <w:t xml:space="preserve">2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___ године.)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lang w:val="sr-Latn-RS"/>
              </w:rPr>
            </w:pP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Назив ангажованих подизвођачких организација: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lang w:val="sr-Latn-RS"/>
              </w:rPr>
            </w:pP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  <w:r>
              <w:rPr>
                <w:rFonts w:ascii="Arial" w:hAnsi="Arial" w:eastAsia="Calibri" w:cs="Arial"/>
                <w:lang w:val="sr-Latn-RS"/>
              </w:rPr>
            </w:r>
          </w:p>
        </w:tc>
      </w:tr>
      <w:tr>
        <w:trPr/>
        <w:tc>
          <w:tcPr>
            <w:tcBorders/>
            <w:tcW w:w="5387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Просечан број запослених:  </w:t>
            </w: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43"/>
              <w:numPr>
                <w:ilvl w:val="0"/>
                <w:numId w:val="11"/>
              </w:numPr>
              <w:pBdr/>
              <w:tabs>
                <w:tab w:val="left" w:leader="none" w:pos="567"/>
              </w:tabs>
              <w:spacing/>
              <w:ind/>
              <w:contextualSpacing w:val="true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сопствено особље 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  <w:p>
            <w:pPr>
              <w:pStyle w:val="1043"/>
              <w:numPr>
                <w:ilvl w:val="0"/>
                <w:numId w:val="11"/>
              </w:numPr>
              <w:pBdr/>
              <w:tabs>
                <w:tab w:val="left" w:leader="none" w:pos="567"/>
              </w:tabs>
              <w:spacing/>
              <w:ind/>
              <w:contextualSpacing w:val="true"/>
              <w:rPr>
                <w:rFonts w:ascii="Arial" w:hAnsi="Arial" w:eastAsia="Calibri" w:cs="Arial"/>
                <w:sz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lang w:val="sr-Latn-RS"/>
              </w:rPr>
              <w:t xml:space="preserve">подизвођачке организације </w:t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  <w:r>
              <w:rPr>
                <w:rFonts w:ascii="Arial" w:hAnsi="Arial" w:eastAsia="Calibri" w:cs="Arial"/>
                <w:sz w:val="22"/>
                <w:lang w:val="sr-Latn-RS"/>
              </w:rPr>
            </w:r>
          </w:p>
        </w:tc>
        <w:tc>
          <w:tcPr>
            <w:tcBorders/>
            <w:tcW w:w="4677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/>
              <w:ind/>
              <w:jc w:val="center"/>
              <w:rPr>
                <w:rFonts w:ascii="Arial" w:hAnsi="Arial" w:eastAsia="Calibri" w:cs="Arial"/>
                <w:sz w:val="22"/>
                <w:szCs w:val="22"/>
                <w:lang w:val="sr-Latn-RS"/>
              </w:rPr>
            </w:pPr>
            <w:r>
              <w:rPr>
                <w:rFonts w:ascii="Arial" w:hAnsi="Arial" w:eastAsia="Calibri" w:cs="Arial"/>
                <w:sz w:val="22"/>
                <w:szCs w:val="22"/>
                <w:lang w:val="sr-Latn-RS"/>
              </w:rPr>
            </w:r>
            <w:r>
              <w:rPr>
                <w:rFonts w:ascii="Arial" w:hAnsi="Arial" w:eastAsia="Calibri" w:cs="Arial"/>
                <w:sz w:val="22"/>
                <w:szCs w:val="22"/>
                <w:lang w:val="sr-Latn-RS"/>
              </w:rPr>
            </w:r>
            <w:r>
              <w:rPr>
                <w:rFonts w:ascii="Arial" w:hAnsi="Arial" w:eastAsia="Calibri" w:cs="Arial"/>
                <w:sz w:val="22"/>
                <w:szCs w:val="22"/>
                <w:lang w:val="sr-Latn-RS"/>
              </w:rPr>
            </w:r>
          </w:p>
        </w:tc>
      </w:tr>
    </w:tbl>
    <w:p>
      <w:pPr>
        <w:pBdr/>
        <w:spacing/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</w:r>
      <w:r>
        <w:rPr>
          <w:rFonts w:ascii="Arial" w:hAnsi="Arial" w:cs="Arial"/>
          <w:b/>
          <w:sz w:val="22"/>
          <w:szCs w:val="22"/>
          <w:lang w:val="sr-Latn-RS"/>
        </w:rPr>
      </w:r>
      <w:r>
        <w:rPr>
          <w:rFonts w:ascii="Arial" w:hAnsi="Arial" w:cs="Arial"/>
          <w:b/>
          <w:sz w:val="22"/>
          <w:szCs w:val="22"/>
          <w:lang w:val="sr-Latn-RS"/>
        </w:rPr>
      </w:r>
    </w:p>
    <w:p>
      <w:pPr>
        <w:numPr>
          <w:ilvl w:val="0"/>
          <w:numId w:val="10"/>
        </w:numPr>
        <w:pBdr/>
        <w:spacing w:before="120"/>
        <w:ind w:hanging="357" w:left="426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Статистика HSE догађаја на локацијама НИС а.д. Нови Сад</w:t>
      </w:r>
      <w:r>
        <w:rPr>
          <w:rFonts w:ascii="Arial" w:hAnsi="Arial" w:cs="Arial"/>
          <w:sz w:val="22"/>
          <w:szCs w:val="22"/>
          <w:lang w:val="sr-Latn-RS"/>
        </w:rPr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(укључујући и ангажоване подизвођачке организације) </w:t>
      </w:r>
      <w:r>
        <w:rPr>
          <w:rFonts w:ascii="Arial" w:hAnsi="Arial" w:cs="Arial"/>
          <w:sz w:val="22"/>
          <w:szCs w:val="22"/>
          <w:lang w:val="sr-Latn-RS"/>
        </w:rPr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6" w:left="516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НSE догађаји везани за процес рада укључујући:</w:t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Извештајни период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Кумулативно (од почетка уговора)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повреда на раду са смртним исходом (случајеви/особа)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повреда на раду са групним исходом (случајеви/особа)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2"/>
                <w:numId w:val="13"/>
              </w:numPr>
              <w:pBdr/>
              <w:spacing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повреда на раду са привременим губитком радне способности услед боловања (више од једне радне смене), случајева/особа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малих повреда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човеку: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43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смртни случајеви:</w:t>
            </w: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43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 евакуација из здравствених разлога;   </w:t>
            </w:r>
            <w:r>
              <w:rPr>
                <w:rFonts w:ascii="Arial" w:hAnsi="Arial" w:cs="Arial"/>
                <w:sz w:val="22"/>
                <w:lang w:val="sr-Latn-RS"/>
              </w:rPr>
            </w:r>
            <w:r>
              <w:rPr>
                <w:rFonts w:ascii="Arial" w:hAnsi="Arial" w:cs="Arial"/>
                <w:sz w:val="22"/>
                <w:lang w:val="sr-Latn-RS"/>
              </w:rPr>
            </w:r>
          </w:p>
          <w:p>
            <w:pPr>
              <w:pStyle w:val="1043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 помоћ без евакуације; </w:t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саобраћајних незгода, од тога: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Сопствена возила Извођача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2"/>
                <w:numId w:val="13"/>
              </w:numPr>
              <w:pBdr/>
              <w:spacing/>
              <w:ind w:hanging="596" w:left="596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повређених у незгодама,особа, између осталог: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43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запослени Извођача/подизвођача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43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трећа лица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Километража возила, хиљада Кm (на локацији НИС а.д.)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пожара/почетних пожара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цурења/акцидентна изливања (моторно уље, гориво, хемикалије…) (случајеви)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6208" w:type="dxa"/>
            <w:textDirection w:val="lrTb"/>
            <w:noWrap w:val="false"/>
          </w:tcPr>
          <w:p>
            <w:pPr>
              <w:pStyle w:val="1043"/>
              <w:numPr>
                <w:ilvl w:val="1"/>
                <w:numId w:val="13"/>
              </w:numPr>
              <w:pBdr/>
              <w:spacing/>
              <w:ind w:hanging="515" w:left="515"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Површина загађеног земљишта/или водене површине, Xа (хектар)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2014" w:type="dxa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842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numPr>
          <w:ilvl w:val="0"/>
          <w:numId w:val="10"/>
        </w:numPr>
        <w:pBdr/>
        <w:spacing w:after="120" w:before="120"/>
        <w:ind w:hanging="357" w:left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Превентивне активности</w:t>
      </w:r>
      <w:r>
        <w:rPr>
          <w:rFonts w:ascii="Arial" w:hAnsi="Arial" w:cs="Arial"/>
          <w:sz w:val="22"/>
          <w:szCs w:val="22"/>
          <w:lang w:val="sr-Latn-RS"/>
        </w:rPr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 Број надзорних посета /опсервација  у области HSE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43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  <w:p>
            <w:pPr>
              <w:pStyle w:val="1043"/>
              <w:numPr>
                <w:ilvl w:val="0"/>
                <w:numId w:val="12"/>
              </w:numPr>
              <w:pBdr/>
              <w:spacing w:line="288" w:lineRule="auto"/>
              <w:ind/>
              <w:contextualSpacing w:val="true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сопствених провера: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 Број провера у области HSE од стране надлежних државних органа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 w:hanging="596" w:left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.2.1. Број прекршаја уочених током извештајног периода од стране надлежних државних органа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.3. Број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заустављања небезбедних активности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.4. Број у организацији запослених у служби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 w:hanging="454" w:left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.5. </w:t>
            </w:r>
            <w:bookmarkStart w:id="0" w:name="_GoBack"/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запослених у служби HSE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на објекту на којем се изводе радови током извештајног периода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8476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.6. Број провера стања HSE које спроводи Извођач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  <w:tc>
          <w:tcPr>
            <w:tcBorders/>
            <w:tcW w:w="1588" w:type="dxa"/>
            <w:vAlign w:val="center"/>
            <w:textDirection w:val="lrTb"/>
            <w:noWrap w:val="false"/>
          </w:tcPr>
          <w:p>
            <w:pPr>
              <w:pBdr/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numPr>
          <w:ilvl w:val="0"/>
          <w:numId w:val="10"/>
        </w:numPr>
        <w:pBdr/>
        <w:spacing w:after="120" w:before="120"/>
        <w:ind w:hanging="357" w:left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Коментари</w:t>
      </w:r>
      <w:r>
        <w:rPr>
          <w:rFonts w:ascii="Arial" w:hAnsi="Arial" w:cs="Arial"/>
          <w:sz w:val="22"/>
          <w:szCs w:val="22"/>
          <w:lang w:val="sr-Latn-RS"/>
        </w:rPr>
      </w:r>
      <w:r>
        <w:rPr>
          <w:rFonts w:ascii="Arial" w:hAnsi="Arial" w:cs="Arial"/>
          <w:sz w:val="22"/>
          <w:szCs w:val="22"/>
          <w:lang w:val="sr-Latn-RS"/>
        </w:rPr>
      </w:r>
    </w:p>
    <w:tbl>
      <w:tblPr>
        <w:tblInd w:w="137" w:type="dxa"/>
        <w:tblW w:w="100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064"/>
      </w:tblGrid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Главни узроци обуставе рада (ако их има):  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Остали коментари: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  <w:tr>
        <w:trPr/>
        <w:tc>
          <w:tcPr>
            <w:tcBorders/>
            <w:tcW w:w="10064" w:type="dxa"/>
            <w:textDirection w:val="lrTb"/>
            <w:noWrap w:val="false"/>
          </w:tcPr>
          <w:p>
            <w:pPr>
              <w:pBdr/>
              <w:spacing w:line="288" w:lineRule="auto"/>
              <w:ind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</w:r>
          </w:p>
        </w:tc>
      </w:tr>
    </w:tbl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 xml:space="preserve">Напомена</w:t>
      </w:r>
      <w:r>
        <w:rPr>
          <w:rFonts w:ascii="Arial" w:hAnsi="Arial" w:cs="Arial"/>
          <w:sz w:val="22"/>
          <w:szCs w:val="22"/>
          <w:lang w:val="sr-Latn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  <w:r>
        <w:rPr>
          <w:rFonts w:ascii="Arial" w:hAnsi="Arial" w:cs="Arial"/>
          <w:sz w:val="22"/>
          <w:szCs w:val="22"/>
          <w:lang w:val="sr-Latn-RS"/>
        </w:rPr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Датум попуњавања: «___» ____________ 20 ___ г.</w:t>
      </w:r>
      <w:r>
        <w:rPr>
          <w:rFonts w:ascii="Arial" w:hAnsi="Arial" w:cs="Arial"/>
          <w:sz w:val="22"/>
          <w:szCs w:val="22"/>
          <w:lang w:val="sr-Latn-RS"/>
        </w:rPr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tabs>
          <w:tab w:val="left" w:leader="none" w:pos="360"/>
          <w:tab w:val="left" w:leader="none" w:pos="1080"/>
        </w:tabs>
        <w:spacing w:after="120" w:before="120"/>
        <w:ind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Руководилац извођачке организације:</w:t>
      </w:r>
      <w:r>
        <w:rPr>
          <w:rFonts w:ascii="Arial" w:hAnsi="Arial" w:cs="Arial"/>
          <w:sz w:val="22"/>
          <w:szCs w:val="22"/>
          <w:lang w:val="sr-Latn-RS"/>
        </w:rPr>
      </w:r>
      <w:r>
        <w:rPr>
          <w:rFonts w:ascii="Arial" w:hAnsi="Arial" w:cs="Arial"/>
          <w:sz w:val="22"/>
          <w:szCs w:val="22"/>
          <w:lang w:val="sr-Latn-RS"/>
        </w:rPr>
      </w:r>
    </w:p>
    <w:p>
      <w:pPr>
        <w:pBdr/>
        <w:spacing/>
        <w:ind w:left="5529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tbl>
      <w:tblPr>
        <w:tblInd w:w="108" w:type="dxa"/>
        <w:tblW w:w="9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>
        <w:trPr>
          <w:trHeight w:val="570"/>
        </w:trPr>
        <w:tc>
          <w:tcPr>
            <w:shd w:val="clear" w:color="auto" w:fill="auto"/>
            <w:tcBorders/>
            <w:tcW w:w="3275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_________________________</w:t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(позиција)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  <w:tc>
          <w:tcPr>
            <w:shd w:val="clear" w:color="auto" w:fill="auto"/>
            <w:tcBorders/>
            <w:tcW w:w="3398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__________________________</w:t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(потпис)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  <w:tc>
          <w:tcPr>
            <w:shd w:val="clear" w:color="auto" w:fill="auto"/>
            <w:tcBorders/>
            <w:tcW w:w="268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 xml:space="preserve">____________________</w:t>
            </w:r>
            <w:r>
              <w:rPr>
                <w:rFonts w:ascii="Arial" w:hAnsi="Arial" w:cs="Arial"/>
                <w:lang w:val="sr-Latn-RS"/>
              </w:rPr>
            </w:r>
            <w:r>
              <w:rPr>
                <w:rFonts w:ascii="Arial" w:hAnsi="Arial" w:cs="Arial"/>
                <w:lang w:val="sr-Latn-RS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                  (Име и презиме</w:t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  <w:r>
              <w:rPr>
                <w:rFonts w:ascii="Arial" w:hAnsi="Arial" w:cs="Arial"/>
                <w:sz w:val="16"/>
                <w:szCs w:val="16"/>
                <w:lang w:val="sr-Latn-RS"/>
              </w:rPr>
            </w:r>
          </w:p>
        </w:tc>
      </w:tr>
    </w:tbl>
    <w:p>
      <w:pPr>
        <w:pBdr/>
        <w:spacing w:after="160" w:line="259" w:lineRule="auto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spacing w:after="160" w:line="259" w:lineRule="auto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sectPr>
      <w:headerReference w:type="first" r:id="rId9"/>
      <w:footerReference w:type="default" r:id="rId10"/>
      <w:footerReference w:type="first" r:id="rId11"/>
      <w:footnotePr/>
      <w:endnotePr/>
      <w:type w:val="continuous"/>
      <w:pgSz w:h="16838" w:orient="portrait" w:w="11906"/>
      <w:pgMar w:top="1417" w:right="1417" w:bottom="1417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onotype Sorts">
    <w:panose1 w:val="05010000000000000000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Tms Rmn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  <w:pBdr/>
      <w:spacing w:after="120" w:before="120"/>
      <w:ind/>
      <w:jc w:val="left"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680194104"/>
        <w:label w:val="0"/>
        <w:lock w:val="unlocked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</w:r>
    <w:r>
      <w:rPr>
        <w:rFonts w:ascii="Arial" w:hAnsi="Arial" w:cs="Arial"/>
      </w:rPr>
    </w:r>
  </w:p>
  <w:p>
    <w:pPr>
      <w:pStyle w:val="1048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8"/>
      <w:pBdr/>
      <w:spacing w:after="120" w:before="120"/>
      <w:ind/>
      <w:jc w:val="left"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1739552277"/>
        <w:label w:val="0"/>
        <w:lock w:val="unlocked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1</w:t>
        </w:r>
        <w:r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</w:r>
    <w:r>
      <w:rPr>
        <w:rFonts w:ascii="Arial" w:hAnsi="Arial" w:cs="Arial"/>
      </w:rPr>
    </w:r>
  </w:p>
  <w:p>
    <w:pPr>
      <w:pStyle w:val="1048"/>
      <w:pBdr/>
      <w:spacing/>
      <w:ind/>
      <w:rPr/>
    </w:pPr>
    <w:r/>
    <w:r/>
  </w:p>
  <w:p>
    <w:pPr>
      <w:pStyle w:val="1048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w:rPr>
        <w:b/>
        <w:sz w:val="28"/>
        <w:szCs w:val="28"/>
        <w:lang w:val="sr-Latn-RS" w:eastAsia="sr-Latn-RS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609725" cy="469265"/>
              <wp:effectExtent l="0" t="0" r="9525" b="6985"/>
              <wp:wrapNone/>
              <wp:docPr id="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09724" cy="4692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-0.05pt;mso-position-vertical:absolute;width:126.75pt;height:36.95pt;mso-wrap-distance-left:9.00pt;mso-wrap-distance-top:0.00pt;mso-wrap-distance-right:9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  <w:tbl>
    <w:tblPr>
      <w:tblW w:w="0" w:type="auto"/>
      <w:tblBorders/>
      <w:tblLook w:val="04A0" w:firstRow="1" w:lastRow="0" w:firstColumn="1" w:lastColumn="0" w:noHBand="0" w:noVBand="1"/>
    </w:tblPr>
    <w:tblGrid>
      <w:gridCol w:w="6962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Типска</w:t>
          </w: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 форма</w:t>
          </w:r>
          <w:r>
            <w:rPr>
              <w:rFonts w:ascii="Arial" w:hAnsi="Arial" w:eastAsia="Calibri" w:cs="Arial"/>
              <w:i/>
              <w:szCs w:val="16"/>
              <w:lang w:val="ru-RU"/>
            </w:rPr>
          </w:r>
          <w:r>
            <w:rPr>
              <w:rFonts w:ascii="Arial" w:hAnsi="Arial" w:eastAsia="Calibri" w:cs="Arial"/>
              <w:i/>
              <w:szCs w:val="16"/>
              <w:lang w:val="ru-RU"/>
            </w:rPr>
          </w:r>
        </w:p>
      </w:tc>
    </w:tr>
  </w:tbl>
  <w:p>
    <w:pPr>
      <w:pStyle w:val="1046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styleLink w:val="1072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1072"/>
      <w:rPr>
        <w:rFonts w:hint="default"/>
      </w:rPr>
      <w:start w:val="4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90" w:left="390"/>
      </w:pPr>
      <w:rPr>
        <w:rFonts w:hint="default"/>
      </w:rPr>
      <w:start w:val="7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512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30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456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4248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40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6192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3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496"/>
      </w:pPr>
      <w:rPr>
        <w:rFonts w:hint="default"/>
      </w:rPr>
      <w:start w:val="1"/>
      <w:suff w:val="tab"/>
    </w:lvl>
  </w:abstractNum>
  <w:abstractNum w:abstractNumId="3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432" w:left="432"/>
      </w:pPr>
      <w:rPr>
        <w:rFonts w:hint="default" w:ascii="Symbol" w:hAnsi="Symbol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6"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 w:ascii="Arial" w:hAnsi="Arial" w:cs="Arial"/>
        <w:b/>
      </w:rPr>
      <w:start w:val="4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 w:ascii="Times New Roman" w:hAnsi="Times New Roman"/>
        <w:b w:val="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 w:ascii="Times New Roman" w:hAnsi="Times New Roman"/>
        <w:b w:val="0"/>
      </w:rPr>
      <w:start w:val="1"/>
      <w:suff w:val="tab"/>
    </w:lvl>
  </w:abstractNum>
  <w:abstractNum w:abstractNumId="7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9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lvl w:ilvl="0">
      <w:isLgl w:val="false"/>
      <w:lvlJc w:val="left"/>
      <w:lvlText w:val=""/>
      <w:numFmt w:val="bullet"/>
      <w:pPr>
        <w:pBdr/>
        <w:spacing/>
        <w:ind w:hanging="360" w:left="121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3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65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7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9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1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3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25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71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  <w:b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14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 w:ascii="Arial" w:hAnsi="Arial" w:cs="Arial"/>
        <w:b/>
      </w:rPr>
      <w:start w:val="2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 w:ascii="Arial" w:hAnsi="Arial" w:cs="Arial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 w:ascii="Times New Roman" w:hAnsi="Times New Roman"/>
        <w:b w:val="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 w:ascii="Times New Roman" w:hAnsi="Times New Roman"/>
        <w:b w:val="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 w:ascii="Times New Roman" w:hAnsi="Times New Roman"/>
        <w:b w:val="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 w:ascii="Times New Roman" w:hAnsi="Times New Roman"/>
        <w:b w:val="0"/>
      </w:rPr>
      <w:start w:val="1"/>
      <w:suff w:val="tab"/>
    </w:lvl>
  </w:abstractNum>
  <w:abstractNum w:abstractNumId="16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1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9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-"/>
      <w:numFmt w:val="bullet"/>
      <w:pPr>
        <w:pBdr/>
        <w:spacing/>
        <w:ind w:hanging="360" w:left="1080"/>
      </w:pPr>
      <w:rPr>
        <w:rFonts w:hint="default"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22">
    <w:lvl w:ilvl="0">
      <w:isLgl w:val="false"/>
      <w:lvlJc w:val="left"/>
      <w:lvlText w:val=""/>
      <w:numFmt w:val="bullet"/>
      <w:pPr>
        <w:pBdr/>
        <w:tabs>
          <w:tab w:val="num" w:leader="none" w:pos="964"/>
        </w:tabs>
        <w:spacing/>
        <w:ind w:hanging="964" w:left="964"/>
      </w:pPr>
      <w:pStyle w:val="1044"/>
      <w:rPr>
        <w:rFonts w:hint="default" w:ascii="Monotype Sorts" w:hAnsi="Monotype Sorts"/>
        <w:sz w:val="18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/>
      <w:numFmt w:val="bullet"/>
      <w:pPr>
        <w:pBdr/>
        <w:spacing/>
        <w:ind/>
      </w:pPr>
      <w:rPr/>
      <w:start w:val="0"/>
      <w:suff w:val="tab"/>
    </w:lvl>
  </w:abstractNum>
  <w:abstractNum w:abstractNumId="23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4">
    <w:lvl w:ilvl="0">
      <w:isLgl w:val="false"/>
      <w:lvlJc w:val="left"/>
      <w:lvlText w:val=""/>
      <w:numFmt w:val="bullet"/>
      <w:pPr>
        <w:pBdr/>
        <w:spacing/>
        <w:ind w:hanging="360" w:left="1494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1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3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5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7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9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1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3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54"/>
      </w:pPr>
      <w:rPr>
        <w:rFonts w:hint="default" w:ascii="Wingdings" w:hAnsi="Wingdings"/>
      </w:rPr>
      <w:start w:val="1"/>
      <w:suff w:val="tab"/>
    </w:lvl>
  </w:abstractNum>
  <w:abstractNum w:abstractNumId="25">
    <w:lvl w:ilvl="0">
      <w:isLgl w:val="false"/>
      <w:lvlJc w:val="left"/>
      <w:lvlText w:val=""/>
      <w:numFmt w:val="bullet"/>
      <w:pPr>
        <w:pBdr/>
        <w:spacing/>
        <w:ind w:hanging="360" w:left="115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7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9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1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3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5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7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9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12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"/>
      <w:numFmt w:val="decimal"/>
      <w:pPr>
        <w:pBdr/>
        <w:tabs>
          <w:tab w:val="num" w:leader="none" w:pos="432"/>
        </w:tabs>
        <w:spacing/>
        <w:ind w:hanging="432" w:left="432"/>
      </w:pPr>
      <w:pStyle w:val="1029"/>
      <w:rPr>
        <w:rFonts w:hint="default"/>
      </w:rPr>
      <w:start w:val="2"/>
      <w:suff w:val="tab"/>
    </w:lvl>
    <w:lvl w:ilvl="1">
      <w:isLgl w:val="false"/>
      <w:lvlJc w:val="left"/>
      <w:lvlText w:val="%1.%2"/>
      <w:numFmt w:val="decimal"/>
      <w:pPr>
        <w:pBdr/>
        <w:tabs>
          <w:tab w:val="num" w:leader="none" w:pos="576"/>
        </w:tabs>
        <w:spacing/>
        <w:ind w:hanging="576" w:left="576"/>
      </w:pPr>
      <w:pStyle w:val="1030"/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tabs>
          <w:tab w:val="num" w:leader="none" w:pos="720"/>
        </w:tabs>
        <w:spacing/>
        <w:ind w:hanging="720" w:left="720"/>
      </w:pPr>
      <w:pStyle w:val="1031"/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tabs>
          <w:tab w:val="num" w:leader="none" w:pos="864"/>
        </w:tabs>
        <w:spacing/>
        <w:ind w:hanging="864" w:left="864"/>
      </w:pPr>
      <w:pStyle w:val="1032"/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1008"/>
        </w:tabs>
        <w:spacing/>
        <w:ind w:hanging="1008" w:left="1008"/>
      </w:pPr>
      <w:pStyle w:val="1033"/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1152"/>
        </w:tabs>
        <w:spacing/>
        <w:ind w:hanging="1152" w:left="1152"/>
      </w:pPr>
      <w:pStyle w:val="1034"/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1296"/>
        </w:tabs>
        <w:spacing/>
        <w:ind w:hanging="1296" w:left="1296"/>
      </w:pPr>
      <w:pStyle w:val="1035"/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1440"/>
        </w:tabs>
        <w:spacing/>
        <w:ind w:hanging="1440" w:left="1440"/>
      </w:pPr>
      <w:pStyle w:val="1036"/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584"/>
        </w:tabs>
        <w:spacing/>
        <w:ind w:hanging="1584" w:left="1584"/>
      </w:pPr>
      <w:pStyle w:val="1037"/>
      <w:rPr>
        <w:rFonts w:hint="default"/>
      </w:rPr>
      <w:start w:val="1"/>
      <w:suff w:val="tab"/>
    </w:lvl>
  </w:abstractNum>
  <w:abstractNum w:abstractNumId="27"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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29"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30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9"/>
  </w:num>
  <w:num w:numId="5">
    <w:abstractNumId w:val="24"/>
  </w:num>
  <w:num w:numId="6">
    <w:abstractNumId w:val="11"/>
  </w:num>
  <w:num w:numId="7">
    <w:abstractNumId w:val="16"/>
  </w:num>
  <w:num w:numId="8">
    <w:abstractNumId w:val="7"/>
  </w:num>
  <w:num w:numId="9">
    <w:abstractNumId w:val="1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20"/>
  </w:num>
  <w:num w:numId="13">
    <w:abstractNumId w:val="2"/>
  </w:num>
  <w:num w:numId="14">
    <w:abstractNumId w:val="21"/>
  </w:num>
  <w:num w:numId="15">
    <w:abstractNumId w:val="10"/>
  </w:num>
  <w:num w:numId="16">
    <w:abstractNumId w:val="13"/>
  </w:num>
  <w:num w:numId="17">
    <w:abstractNumId w:val="25"/>
  </w:num>
  <w:num w:numId="18">
    <w:abstractNumId w:val="9"/>
  </w:num>
  <w:num w:numId="19">
    <w:abstractNumId w:val="15"/>
  </w:num>
  <w:num w:numId="20">
    <w:abstractNumId w:val="8"/>
  </w:num>
  <w:num w:numId="21">
    <w:abstractNumId w:val="23"/>
  </w:num>
  <w:num w:numId="22">
    <w:abstractNumId w:val="28"/>
  </w:num>
  <w:num w:numId="23">
    <w:abstractNumId w:val="26"/>
  </w:num>
  <w:num w:numId="24">
    <w:abstractNumId w:val="0"/>
  </w:num>
  <w:num w:numId="25">
    <w:abstractNumId w:val="27"/>
  </w:num>
  <w:num w:numId="26">
    <w:abstractNumId w:val="12"/>
  </w:num>
  <w:num w:numId="27">
    <w:abstractNumId w:val="3"/>
  </w:num>
  <w:num w:numId="28">
    <w:abstractNumId w:val="30"/>
  </w:num>
  <w:num w:numId="29">
    <w:abstractNumId w:val="6"/>
  </w:num>
  <w:num w:numId="30">
    <w:abstractNumId w:val="4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68">
    <w:name w:val="Table Grid Light"/>
    <w:basedOn w:val="10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Plain Table 1"/>
    <w:basedOn w:val="10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Plain Table 2"/>
    <w:basedOn w:val="103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Plain Table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Plain Table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Plain Table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1 Light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1 Light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1 Light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1 Light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1 Light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1 Light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1 Light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2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2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2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2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2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2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3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3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3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3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3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3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4"/>
    <w:basedOn w:val="10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4 - Accent 1"/>
    <w:basedOn w:val="10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4 - Accent 2"/>
    <w:basedOn w:val="10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4 - Accent 3"/>
    <w:basedOn w:val="10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4 - Accent 4"/>
    <w:basedOn w:val="10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4 - Accent 5"/>
    <w:basedOn w:val="10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4 - Accent 6"/>
    <w:basedOn w:val="103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5 Dark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5 Dark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5 Dark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5 Dark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5 Dark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5 Dark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5 Dark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6 Colorful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6 Colorful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6 Colorful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6 Colorful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6 Colorful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6 Colorful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6 Colorful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7 Colorful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7 Colorful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7 Colorful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7 Colorful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7 Colorful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7 Colorful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7 Colorful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1 Light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1 Light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1 Light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1 Light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1 Light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1 Light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1 Light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2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2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2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2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2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2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3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3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3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3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3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3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4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4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4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4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4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4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5 Dark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5 Dark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5 Dark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5 Dark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5 Dark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5 Dark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5 Dark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6 Colorful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6 Colorful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6 Colorful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6 Colorful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6 Colorful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6 Colorful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6 Colorful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7 Colorful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7 Colorful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7 Colorful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7 Colorful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7 Colorful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7 Colorful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7 Colorful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ned - Accent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ned - Accent 1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ned - Accent 2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ned - Accent 3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ned - Accent 4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ned - Accent 5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ned - Accent 6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 &amp; Lined - Accent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&amp; Lined - Accent 1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&amp; Lined - Accent 2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&amp; Lined - Accent 3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&amp; Lined - Accent 4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&amp; Lined - Accent 5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&amp; Lined - Accent 6"/>
    <w:basedOn w:val="103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Bordered - Accent 1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Bordered - Accent 2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Bordered - Accent 3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Bordered - Accent 4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Bordered - Accent 5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Bordered - Accent 6"/>
    <w:basedOn w:val="103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93">
    <w:name w:val="Title"/>
    <w:basedOn w:val="1028"/>
    <w:next w:val="1028"/>
    <w:link w:val="99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4">
    <w:name w:val="Title Char"/>
    <w:basedOn w:val="1038"/>
    <w:link w:val="99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95">
    <w:name w:val="Subtitle"/>
    <w:basedOn w:val="1028"/>
    <w:next w:val="1028"/>
    <w:link w:val="99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96">
    <w:name w:val="Subtitle Char"/>
    <w:basedOn w:val="1038"/>
    <w:link w:val="99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97">
    <w:name w:val="Quote"/>
    <w:basedOn w:val="1028"/>
    <w:next w:val="1028"/>
    <w:link w:val="99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8">
    <w:name w:val="Quote Char"/>
    <w:basedOn w:val="1038"/>
    <w:link w:val="99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99">
    <w:name w:val="Intense Emphasis"/>
    <w:basedOn w:val="103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00">
    <w:name w:val="Intense Quote"/>
    <w:basedOn w:val="1028"/>
    <w:next w:val="1028"/>
    <w:link w:val="100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01">
    <w:name w:val="Intense Quote Char"/>
    <w:basedOn w:val="1038"/>
    <w:link w:val="100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02">
    <w:name w:val="Intense Reference"/>
    <w:basedOn w:val="103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03">
    <w:name w:val="No Spacing"/>
    <w:basedOn w:val="1028"/>
    <w:uiPriority w:val="1"/>
    <w:qFormat/>
    <w:pPr>
      <w:pBdr/>
      <w:spacing w:after="0" w:line="240" w:lineRule="auto"/>
      <w:ind/>
    </w:pPr>
  </w:style>
  <w:style w:type="character" w:styleId="1004">
    <w:name w:val="Subtle Emphasis"/>
    <w:basedOn w:val="10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05">
    <w:name w:val="Emphasis"/>
    <w:basedOn w:val="1038"/>
    <w:uiPriority w:val="20"/>
    <w:qFormat/>
    <w:pPr>
      <w:pBdr/>
      <w:spacing/>
      <w:ind/>
    </w:pPr>
    <w:rPr>
      <w:i/>
      <w:iCs/>
    </w:rPr>
  </w:style>
  <w:style w:type="character" w:styleId="1006">
    <w:name w:val="Strong"/>
    <w:basedOn w:val="1038"/>
    <w:uiPriority w:val="22"/>
    <w:qFormat/>
    <w:pPr>
      <w:pBdr/>
      <w:spacing/>
      <w:ind/>
    </w:pPr>
    <w:rPr>
      <w:b/>
      <w:bCs/>
    </w:rPr>
  </w:style>
  <w:style w:type="character" w:styleId="1007">
    <w:name w:val="Subtle Reference"/>
    <w:basedOn w:val="10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8">
    <w:name w:val="Book Title"/>
    <w:basedOn w:val="103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09">
    <w:name w:val="Caption"/>
    <w:basedOn w:val="1028"/>
    <w:next w:val="10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010">
    <w:name w:val="footnote text"/>
    <w:basedOn w:val="1028"/>
    <w:link w:val="10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11">
    <w:name w:val="Footnote Text Char"/>
    <w:basedOn w:val="1038"/>
    <w:link w:val="1010"/>
    <w:uiPriority w:val="99"/>
    <w:semiHidden/>
    <w:pPr>
      <w:pBdr/>
      <w:spacing/>
      <w:ind/>
    </w:pPr>
    <w:rPr>
      <w:sz w:val="20"/>
      <w:szCs w:val="20"/>
    </w:rPr>
  </w:style>
  <w:style w:type="character" w:styleId="1012">
    <w:name w:val="footnote reference"/>
    <w:basedOn w:val="1038"/>
    <w:uiPriority w:val="99"/>
    <w:semiHidden/>
    <w:unhideWhenUsed/>
    <w:pPr>
      <w:pBdr/>
      <w:spacing/>
      <w:ind/>
    </w:pPr>
    <w:rPr>
      <w:vertAlign w:val="superscript"/>
    </w:rPr>
  </w:style>
  <w:style w:type="paragraph" w:styleId="1013">
    <w:name w:val="endnote text"/>
    <w:basedOn w:val="1028"/>
    <w:link w:val="10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14">
    <w:name w:val="Endnote Text Char"/>
    <w:basedOn w:val="1038"/>
    <w:link w:val="1013"/>
    <w:uiPriority w:val="99"/>
    <w:semiHidden/>
    <w:pPr>
      <w:pBdr/>
      <w:spacing/>
      <w:ind/>
    </w:pPr>
    <w:rPr>
      <w:sz w:val="20"/>
      <w:szCs w:val="20"/>
    </w:rPr>
  </w:style>
  <w:style w:type="character" w:styleId="1015">
    <w:name w:val="endnote reference"/>
    <w:basedOn w:val="1038"/>
    <w:uiPriority w:val="99"/>
    <w:semiHidden/>
    <w:unhideWhenUsed/>
    <w:pPr>
      <w:pBdr/>
      <w:spacing/>
      <w:ind/>
    </w:pPr>
    <w:rPr>
      <w:vertAlign w:val="superscript"/>
    </w:rPr>
  </w:style>
  <w:style w:type="paragraph" w:styleId="1016">
    <w:name w:val="toc 1"/>
    <w:basedOn w:val="1028"/>
    <w:next w:val="1028"/>
    <w:uiPriority w:val="39"/>
    <w:unhideWhenUsed/>
    <w:pPr>
      <w:pBdr/>
      <w:spacing w:after="100"/>
      <w:ind/>
    </w:pPr>
  </w:style>
  <w:style w:type="paragraph" w:styleId="1017">
    <w:name w:val="toc 2"/>
    <w:basedOn w:val="1028"/>
    <w:next w:val="1028"/>
    <w:uiPriority w:val="39"/>
    <w:unhideWhenUsed/>
    <w:pPr>
      <w:pBdr/>
      <w:spacing w:after="100"/>
      <w:ind w:left="220"/>
    </w:pPr>
  </w:style>
  <w:style w:type="paragraph" w:styleId="1018">
    <w:name w:val="toc 3"/>
    <w:basedOn w:val="1028"/>
    <w:next w:val="1028"/>
    <w:uiPriority w:val="39"/>
    <w:unhideWhenUsed/>
    <w:pPr>
      <w:pBdr/>
      <w:spacing w:after="100"/>
      <w:ind w:left="440"/>
    </w:pPr>
  </w:style>
  <w:style w:type="paragraph" w:styleId="1019">
    <w:name w:val="toc 4"/>
    <w:basedOn w:val="1028"/>
    <w:next w:val="1028"/>
    <w:uiPriority w:val="39"/>
    <w:unhideWhenUsed/>
    <w:pPr>
      <w:pBdr/>
      <w:spacing w:after="100"/>
      <w:ind w:left="660"/>
    </w:pPr>
  </w:style>
  <w:style w:type="paragraph" w:styleId="1020">
    <w:name w:val="toc 5"/>
    <w:basedOn w:val="1028"/>
    <w:next w:val="1028"/>
    <w:uiPriority w:val="39"/>
    <w:unhideWhenUsed/>
    <w:pPr>
      <w:pBdr/>
      <w:spacing w:after="100"/>
      <w:ind w:left="880"/>
    </w:pPr>
  </w:style>
  <w:style w:type="paragraph" w:styleId="1021">
    <w:name w:val="toc 6"/>
    <w:basedOn w:val="1028"/>
    <w:next w:val="1028"/>
    <w:uiPriority w:val="39"/>
    <w:unhideWhenUsed/>
    <w:pPr>
      <w:pBdr/>
      <w:spacing w:after="100"/>
      <w:ind w:left="1100"/>
    </w:pPr>
  </w:style>
  <w:style w:type="paragraph" w:styleId="1022">
    <w:name w:val="toc 7"/>
    <w:basedOn w:val="1028"/>
    <w:next w:val="1028"/>
    <w:uiPriority w:val="39"/>
    <w:unhideWhenUsed/>
    <w:pPr>
      <w:pBdr/>
      <w:spacing w:after="100"/>
      <w:ind w:left="1320"/>
    </w:pPr>
  </w:style>
  <w:style w:type="paragraph" w:styleId="1023">
    <w:name w:val="toc 8"/>
    <w:basedOn w:val="1028"/>
    <w:next w:val="1028"/>
    <w:uiPriority w:val="39"/>
    <w:unhideWhenUsed/>
    <w:pPr>
      <w:pBdr/>
      <w:spacing w:after="100"/>
      <w:ind w:left="1540"/>
    </w:pPr>
  </w:style>
  <w:style w:type="paragraph" w:styleId="1024">
    <w:name w:val="toc 9"/>
    <w:basedOn w:val="1028"/>
    <w:next w:val="1028"/>
    <w:uiPriority w:val="39"/>
    <w:unhideWhenUsed/>
    <w:pPr>
      <w:pBdr/>
      <w:spacing w:after="100"/>
      <w:ind w:left="1760"/>
    </w:pPr>
  </w:style>
  <w:style w:type="character" w:styleId="1025">
    <w:name w:val="Placeholder Text"/>
    <w:basedOn w:val="1038"/>
    <w:uiPriority w:val="99"/>
    <w:semiHidden/>
    <w:pPr>
      <w:pBdr/>
      <w:spacing/>
      <w:ind/>
    </w:pPr>
    <w:rPr>
      <w:color w:val="666666"/>
    </w:rPr>
  </w:style>
  <w:style w:type="paragraph" w:styleId="1026">
    <w:name w:val="TOC Heading"/>
    <w:uiPriority w:val="39"/>
    <w:unhideWhenUsed/>
    <w:pPr>
      <w:pBdr/>
      <w:spacing/>
      <w:ind/>
    </w:pPr>
  </w:style>
  <w:style w:type="paragraph" w:styleId="1027">
    <w:name w:val="table of figures"/>
    <w:basedOn w:val="1028"/>
    <w:next w:val="1028"/>
    <w:uiPriority w:val="99"/>
    <w:unhideWhenUsed/>
    <w:pPr>
      <w:pBdr/>
      <w:spacing w:after="0" w:afterAutospacing="0"/>
      <w:ind/>
    </w:pPr>
  </w:style>
  <w:style w:type="paragraph" w:styleId="102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29">
    <w:name w:val="Heading 1"/>
    <w:basedOn w:val="1028"/>
    <w:next w:val="1028"/>
    <w:link w:val="1063"/>
    <w:qFormat/>
    <w:pPr>
      <w:keepNext w:val="true"/>
      <w:numPr>
        <w:numId w:val="23"/>
      </w:numPr>
      <w:pBdr/>
      <w:spacing/>
      <w:ind/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1030">
    <w:name w:val="Heading 2"/>
    <w:basedOn w:val="1028"/>
    <w:next w:val="1028"/>
    <w:link w:val="1064"/>
    <w:qFormat/>
    <w:pPr>
      <w:keepNext w:val="true"/>
      <w:numPr>
        <w:ilvl w:val="1"/>
        <w:numId w:val="23"/>
      </w:numPr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031">
    <w:name w:val="Heading 3"/>
    <w:basedOn w:val="1028"/>
    <w:next w:val="1028"/>
    <w:link w:val="1065"/>
    <w:qFormat/>
    <w:pPr>
      <w:keepNext w:val="true"/>
      <w:numPr>
        <w:ilvl w:val="2"/>
        <w:numId w:val="23"/>
      </w:numPr>
      <w:pBdr/>
      <w:spacing w:after="60" w:before="240"/>
      <w:ind/>
      <w:outlineLvl w:val="2"/>
    </w:pPr>
    <w:rPr>
      <w:rFonts w:ascii="Arial" w:hAnsi="Arial" w:cs="Arial"/>
      <w:b/>
      <w:bCs/>
      <w:sz w:val="26"/>
      <w:szCs w:val="26"/>
    </w:rPr>
  </w:style>
  <w:style w:type="paragraph" w:styleId="1032">
    <w:name w:val="Heading 4"/>
    <w:basedOn w:val="1028"/>
    <w:next w:val="1028"/>
    <w:link w:val="1066"/>
    <w:qFormat/>
    <w:pPr>
      <w:keepNext w:val="true"/>
      <w:numPr>
        <w:ilvl w:val="3"/>
        <w:numId w:val="23"/>
      </w:numPr>
      <w:pBdr/>
      <w:spacing w:after="60" w:before="240"/>
      <w:ind/>
      <w:outlineLvl w:val="3"/>
    </w:pPr>
    <w:rPr>
      <w:b/>
      <w:bCs/>
      <w:sz w:val="28"/>
      <w:szCs w:val="28"/>
    </w:rPr>
  </w:style>
  <w:style w:type="paragraph" w:styleId="1033">
    <w:name w:val="Heading 5"/>
    <w:basedOn w:val="1028"/>
    <w:next w:val="1028"/>
    <w:link w:val="1067"/>
    <w:qFormat/>
    <w:pPr>
      <w:numPr>
        <w:ilvl w:val="4"/>
        <w:numId w:val="23"/>
      </w:numPr>
      <w:pBdr/>
      <w:spacing w:after="60" w:before="240"/>
      <w:ind/>
      <w:outlineLvl w:val="4"/>
    </w:pPr>
    <w:rPr>
      <w:b/>
      <w:bCs/>
      <w:i/>
      <w:iCs/>
      <w:sz w:val="26"/>
      <w:szCs w:val="26"/>
    </w:rPr>
  </w:style>
  <w:style w:type="paragraph" w:styleId="1034">
    <w:name w:val="Heading 6"/>
    <w:basedOn w:val="1028"/>
    <w:next w:val="1028"/>
    <w:link w:val="1068"/>
    <w:qFormat/>
    <w:pPr>
      <w:numPr>
        <w:ilvl w:val="5"/>
        <w:numId w:val="23"/>
      </w:numPr>
      <w:pBdr/>
      <w:spacing w:after="60" w:before="240"/>
      <w:ind/>
      <w:outlineLvl w:val="5"/>
    </w:pPr>
    <w:rPr>
      <w:b/>
      <w:bCs/>
      <w:sz w:val="22"/>
      <w:szCs w:val="22"/>
    </w:rPr>
  </w:style>
  <w:style w:type="paragraph" w:styleId="1035">
    <w:name w:val="Heading 7"/>
    <w:basedOn w:val="1028"/>
    <w:next w:val="1028"/>
    <w:link w:val="1069"/>
    <w:qFormat/>
    <w:pPr>
      <w:numPr>
        <w:ilvl w:val="6"/>
        <w:numId w:val="23"/>
      </w:numPr>
      <w:pBdr/>
      <w:spacing w:after="60" w:before="240"/>
      <w:ind/>
      <w:outlineLvl w:val="6"/>
    </w:pPr>
    <w:rPr>
      <w:sz w:val="24"/>
      <w:szCs w:val="24"/>
    </w:rPr>
  </w:style>
  <w:style w:type="paragraph" w:styleId="1036">
    <w:name w:val="Heading 8"/>
    <w:basedOn w:val="1028"/>
    <w:next w:val="1028"/>
    <w:link w:val="1070"/>
    <w:qFormat/>
    <w:pPr>
      <w:numPr>
        <w:ilvl w:val="7"/>
        <w:numId w:val="23"/>
      </w:numPr>
      <w:pBdr/>
      <w:spacing w:after="60" w:before="240"/>
      <w:ind/>
      <w:outlineLvl w:val="7"/>
    </w:pPr>
    <w:rPr>
      <w:i/>
      <w:iCs/>
      <w:sz w:val="24"/>
      <w:szCs w:val="24"/>
    </w:rPr>
  </w:style>
  <w:style w:type="paragraph" w:styleId="1037">
    <w:name w:val="Heading 9"/>
    <w:basedOn w:val="1028"/>
    <w:next w:val="1028"/>
    <w:link w:val="1071"/>
    <w:qFormat/>
    <w:pPr>
      <w:numPr>
        <w:ilvl w:val="8"/>
        <w:numId w:val="23"/>
      </w:numPr>
      <w:pBdr/>
      <w:spacing w:after="60" w:before="240"/>
      <w:ind/>
      <w:outlineLvl w:val="8"/>
    </w:pPr>
    <w:rPr>
      <w:rFonts w:ascii="Arial" w:hAnsi="Arial" w:cs="Arial"/>
      <w:sz w:val="22"/>
      <w:szCs w:val="22"/>
    </w:rPr>
  </w:style>
  <w:style w:type="character" w:styleId="1038" w:default="1">
    <w:name w:val="Default Paragraph Font"/>
    <w:uiPriority w:val="1"/>
    <w:semiHidden/>
    <w:unhideWhenUsed/>
    <w:pPr>
      <w:pBdr/>
      <w:spacing/>
      <w:ind/>
    </w:pPr>
  </w:style>
  <w:style w:type="table" w:styleId="103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40" w:default="1">
    <w:name w:val="No List"/>
    <w:uiPriority w:val="99"/>
    <w:semiHidden/>
    <w:unhideWhenUsed/>
    <w:pPr>
      <w:pBdr/>
      <w:spacing/>
      <w:ind/>
    </w:pPr>
  </w:style>
  <w:style w:type="paragraph" w:styleId="1041">
    <w:name w:val="Block Text"/>
    <w:basedOn w:val="1028"/>
    <w:pPr>
      <w:pBdr/>
      <w:spacing/>
      <w:ind w:right="1440" w:left="1440"/>
    </w:pPr>
    <w:rPr>
      <w:sz w:val="26"/>
      <w:lang w:val="en-US"/>
    </w:rPr>
  </w:style>
  <w:style w:type="paragraph" w:styleId="1042" w:customStyle="1">
    <w:name w:val="Text_Croatia"/>
    <w:basedOn w:val="1028"/>
    <w:qFormat/>
    <w:pPr>
      <w:widowControl w:val="false"/>
      <w:pBdr/>
      <w:spacing w:before="240"/>
      <w:ind/>
      <w:jc w:val="both"/>
    </w:pPr>
    <w:rPr>
      <w:rFonts w:ascii="Arial" w:hAnsi="Arial"/>
      <w:lang w:val="hr-HR"/>
    </w:rPr>
  </w:style>
  <w:style w:type="paragraph" w:styleId="1043">
    <w:name w:val="List Paragraph"/>
    <w:basedOn w:val="1028"/>
    <w:uiPriority w:val="34"/>
    <w:qFormat/>
    <w:pPr>
      <w:pBdr/>
      <w:spacing/>
      <w:ind w:left="720"/>
    </w:pPr>
  </w:style>
  <w:style w:type="paragraph" w:styleId="1044" w:customStyle="1">
    <w:name w:val="Level 1"/>
    <w:basedOn w:val="1028"/>
    <w:link w:val="1045"/>
    <w:pPr>
      <w:numPr>
        <w:numId w:val="3"/>
      </w:numPr>
      <w:pBdr/>
      <w:spacing w:before="120" w:line="280" w:lineRule="atLeast"/>
      <w:ind/>
    </w:pPr>
    <w:rPr>
      <w:rFonts w:ascii="Arial" w:hAnsi="Arial"/>
      <w:sz w:val="22"/>
      <w:lang w:val="en-GB"/>
    </w:rPr>
  </w:style>
  <w:style w:type="character" w:styleId="1045" w:customStyle="1">
    <w:name w:val="Level 1 Char"/>
    <w:link w:val="1044"/>
    <w:pPr>
      <w:pBdr/>
      <w:spacing/>
      <w:ind/>
    </w:pPr>
    <w:rPr>
      <w:rFonts w:ascii="Arial" w:hAnsi="Arial" w:eastAsia="Times New Roman" w:cs="Times New Roman"/>
      <w:szCs w:val="20"/>
      <w:lang w:val="en-GB"/>
    </w:rPr>
  </w:style>
  <w:style w:type="paragraph" w:styleId="1046">
    <w:name w:val="Header"/>
    <w:basedOn w:val="1028"/>
    <w:link w:val="1047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47" w:customStyle="1">
    <w:name w:val="Header Char"/>
    <w:basedOn w:val="1038"/>
    <w:link w:val="1046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48">
    <w:name w:val="Footer"/>
    <w:basedOn w:val="1028"/>
    <w:link w:val="1049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49" w:customStyle="1">
    <w:name w:val="Footer Char"/>
    <w:basedOn w:val="1038"/>
    <w:link w:val="1048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table" w:styleId="1050">
    <w:name w:val="Table Grid"/>
    <w:basedOn w:val="1039"/>
    <w:uiPriority w:val="59"/>
    <w:pPr>
      <w:pBdr/>
      <w:spacing w:after="0" w:line="240" w:lineRule="auto"/>
      <w:ind/>
    </w:pPr>
    <w:rPr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51">
    <w:name w:val="annotation reference"/>
    <w:basedOn w:val="103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52">
    <w:name w:val="annotation text"/>
    <w:basedOn w:val="1028"/>
    <w:link w:val="1053"/>
    <w:uiPriority w:val="99"/>
    <w:unhideWhenUsed/>
    <w:pPr>
      <w:pBdr/>
      <w:spacing/>
      <w:ind/>
    </w:pPr>
  </w:style>
  <w:style w:type="character" w:styleId="1053" w:customStyle="1">
    <w:name w:val="Comment Text Char"/>
    <w:basedOn w:val="1038"/>
    <w:link w:val="1052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54">
    <w:name w:val="annotation subject"/>
    <w:basedOn w:val="1052"/>
    <w:next w:val="1052"/>
    <w:link w:val="1055"/>
    <w:uiPriority w:val="99"/>
    <w:semiHidden/>
    <w:unhideWhenUsed/>
    <w:pPr>
      <w:pBdr/>
      <w:spacing/>
      <w:ind/>
    </w:pPr>
    <w:rPr>
      <w:b/>
      <w:bCs/>
    </w:rPr>
  </w:style>
  <w:style w:type="character" w:styleId="1055" w:customStyle="1">
    <w:name w:val="Comment Subject Char"/>
    <w:basedOn w:val="1053"/>
    <w:link w:val="1054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en-AU"/>
    </w:rPr>
  </w:style>
  <w:style w:type="paragraph" w:styleId="1056">
    <w:name w:val="Balloon Text"/>
    <w:basedOn w:val="1028"/>
    <w:link w:val="1057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57" w:customStyle="1">
    <w:name w:val="Balloon Text Char"/>
    <w:basedOn w:val="1038"/>
    <w:link w:val="1056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en-AU"/>
    </w:rPr>
  </w:style>
  <w:style w:type="paragraph" w:styleId="1058" w:customStyle="1">
    <w:name w:val="clan"/>
    <w:basedOn w:val="1028"/>
    <w:pPr>
      <w:pBdr/>
      <w:spacing w:after="120" w:before="240"/>
      <w:ind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styleId="1059" w:customStyle="1">
    <w:name w:val="Normal1"/>
    <w:basedOn w:val="1028"/>
    <w:pPr>
      <w:pBdr/>
      <w:spacing w:after="150"/>
      <w:ind/>
    </w:pPr>
    <w:rPr>
      <w:rFonts w:ascii="Arial" w:hAnsi="Arial" w:cs="Arial"/>
      <w:sz w:val="22"/>
      <w:szCs w:val="22"/>
      <w:lang w:val="sr-Latn-RS" w:eastAsia="sr-Latn-RS"/>
    </w:rPr>
  </w:style>
  <w:style w:type="character" w:styleId="1060" w:customStyle="1">
    <w:name w:val="Основной текст_"/>
    <w:basedOn w:val="1038"/>
    <w:link w:val="1061"/>
    <w:pPr>
      <w:pBdr/>
      <w:spacing/>
      <w:ind/>
    </w:pPr>
    <w:rPr>
      <w:rFonts w:ascii="Arial" w:hAnsi="Arial" w:eastAsia="Arial" w:cs="Arial"/>
      <w:sz w:val="20"/>
      <w:szCs w:val="20"/>
      <w:shd w:val="clear" w:color="auto" w:fill="ffffff"/>
    </w:rPr>
  </w:style>
  <w:style w:type="paragraph" w:styleId="1061" w:customStyle="1">
    <w:name w:val="Основной текст1"/>
    <w:basedOn w:val="1028"/>
    <w:link w:val="1060"/>
    <w:pPr>
      <w:widowControl w:val="false"/>
      <w:pBdr/>
      <w:shd w:val="clear" w:color="auto" w:fill="ffffff"/>
      <w:spacing w:line="264" w:lineRule="auto"/>
      <w:ind w:firstLine="400"/>
    </w:pPr>
    <w:rPr>
      <w:rFonts w:ascii="Arial" w:hAnsi="Arial" w:eastAsia="Arial" w:cs="Arial"/>
      <w:lang w:val="sr-Latn-RS"/>
    </w:rPr>
  </w:style>
  <w:style w:type="paragraph" w:styleId="1062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  <w:style w:type="character" w:styleId="1063" w:customStyle="1">
    <w:name w:val="Heading 1 Char"/>
    <w:basedOn w:val="1038"/>
    <w:link w:val="1029"/>
    <w:pPr>
      <w:pBdr/>
      <w:spacing/>
      <w:ind/>
    </w:pPr>
    <w:rPr>
      <w:rFonts w:ascii="Tms Rmn" w:hAnsi="Tms Rmn" w:eastAsia="Times New Roman" w:cs="Times New Roman"/>
      <w:b/>
      <w:bCs/>
      <w:sz w:val="24"/>
      <w:szCs w:val="24"/>
      <w:lang w:val="en-AU"/>
    </w:rPr>
  </w:style>
  <w:style w:type="character" w:styleId="1064" w:customStyle="1">
    <w:name w:val="Heading 2 Char"/>
    <w:basedOn w:val="1038"/>
    <w:link w:val="1030"/>
    <w:pPr>
      <w:pBdr/>
      <w:spacing/>
      <w:ind/>
    </w:pPr>
    <w:rPr>
      <w:rFonts w:ascii="Arial" w:hAnsi="Arial" w:eastAsia="Times New Roman" w:cs="Arial"/>
      <w:b/>
      <w:bCs/>
      <w:i/>
      <w:iCs/>
      <w:sz w:val="28"/>
      <w:szCs w:val="28"/>
      <w:lang w:val="en-AU"/>
    </w:rPr>
  </w:style>
  <w:style w:type="character" w:styleId="1065" w:customStyle="1">
    <w:name w:val="Heading 3 Char"/>
    <w:basedOn w:val="1038"/>
    <w:link w:val="1031"/>
    <w:pPr>
      <w:pBdr/>
      <w:spacing/>
      <w:ind/>
    </w:pPr>
    <w:rPr>
      <w:rFonts w:ascii="Arial" w:hAnsi="Arial" w:eastAsia="Times New Roman" w:cs="Arial"/>
      <w:b/>
      <w:bCs/>
      <w:sz w:val="26"/>
      <w:szCs w:val="26"/>
      <w:lang w:val="en-AU"/>
    </w:rPr>
  </w:style>
  <w:style w:type="character" w:styleId="1066" w:customStyle="1">
    <w:name w:val="Heading 4 Char"/>
    <w:basedOn w:val="1038"/>
    <w:link w:val="1032"/>
    <w:pPr>
      <w:pBdr/>
      <w:spacing/>
      <w:ind/>
    </w:pPr>
    <w:rPr>
      <w:rFonts w:ascii="Times New Roman" w:hAnsi="Times New Roman" w:eastAsia="Times New Roman" w:cs="Times New Roman"/>
      <w:b/>
      <w:bCs/>
      <w:sz w:val="28"/>
      <w:szCs w:val="28"/>
      <w:lang w:val="en-AU"/>
    </w:rPr>
  </w:style>
  <w:style w:type="character" w:styleId="1067" w:customStyle="1">
    <w:name w:val="Heading 5 Char"/>
    <w:basedOn w:val="1038"/>
    <w:link w:val="1033"/>
    <w:pPr>
      <w:pBdr/>
      <w:spacing/>
      <w:ind/>
    </w:pPr>
    <w:rPr>
      <w:rFonts w:ascii="Times New Roman" w:hAnsi="Times New Roman" w:eastAsia="Times New Roman" w:cs="Times New Roman"/>
      <w:b/>
      <w:bCs/>
      <w:i/>
      <w:iCs/>
      <w:sz w:val="26"/>
      <w:szCs w:val="26"/>
      <w:lang w:val="en-AU"/>
    </w:rPr>
  </w:style>
  <w:style w:type="character" w:styleId="1068" w:customStyle="1">
    <w:name w:val="Heading 6 Char"/>
    <w:basedOn w:val="1038"/>
    <w:link w:val="1034"/>
    <w:pPr>
      <w:pBdr/>
      <w:spacing/>
      <w:ind/>
    </w:pPr>
    <w:rPr>
      <w:rFonts w:ascii="Times New Roman" w:hAnsi="Times New Roman" w:eastAsia="Times New Roman" w:cs="Times New Roman"/>
      <w:b/>
      <w:bCs/>
      <w:lang w:val="en-AU"/>
    </w:rPr>
  </w:style>
  <w:style w:type="character" w:styleId="1069" w:customStyle="1">
    <w:name w:val="Heading 7 Char"/>
    <w:basedOn w:val="1038"/>
    <w:link w:val="1035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val="en-AU"/>
    </w:rPr>
  </w:style>
  <w:style w:type="character" w:styleId="1070" w:customStyle="1">
    <w:name w:val="Heading 8 Char"/>
    <w:basedOn w:val="1038"/>
    <w:link w:val="1036"/>
    <w:pPr>
      <w:pBdr/>
      <w:spacing/>
      <w:ind/>
    </w:pPr>
    <w:rPr>
      <w:rFonts w:ascii="Times New Roman" w:hAnsi="Times New Roman" w:eastAsia="Times New Roman" w:cs="Times New Roman"/>
      <w:i/>
      <w:iCs/>
      <w:sz w:val="24"/>
      <w:szCs w:val="24"/>
      <w:lang w:val="en-AU"/>
    </w:rPr>
  </w:style>
  <w:style w:type="character" w:styleId="1071" w:customStyle="1">
    <w:name w:val="Heading 9 Char"/>
    <w:basedOn w:val="1038"/>
    <w:link w:val="1037"/>
    <w:pPr>
      <w:pBdr/>
      <w:spacing/>
      <w:ind/>
    </w:pPr>
    <w:rPr>
      <w:rFonts w:ascii="Arial" w:hAnsi="Arial" w:eastAsia="Times New Roman" w:cs="Arial"/>
      <w:lang w:val="en-AU"/>
    </w:rPr>
  </w:style>
  <w:style w:type="numbering" w:styleId="1072" w:customStyle="1">
    <w:name w:val="Style1"/>
    <w:uiPriority w:val="99"/>
    <w:pPr>
      <w:numPr>
        <w:numId w:val="24"/>
      </w:numPr>
      <w:pBdr/>
      <w:spacing/>
      <w:ind/>
    </w:pPr>
  </w:style>
  <w:style w:type="paragraph" w:styleId="1073">
    <w:name w:val="Revision"/>
    <w:hidden/>
    <w:uiPriority w:val="99"/>
    <w:semiHidden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character" w:styleId="1074">
    <w:name w:val="Hyperlink"/>
    <w:basedOn w:val="103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75">
    <w:name w:val="FollowedHyperlink"/>
    <w:basedOn w:val="103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Props1.xml><?xml version="1.0" encoding="utf-8"?>
<ds:datastoreItem xmlns:ds="http://schemas.openxmlformats.org/officeDocument/2006/customXml" ds:itemID="{21BC6AB9-23ED-4919-B864-196A5D107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B946F-5401-451D-A9A7-665D8F25A5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CFF05D-95BB-49BE-85FE-D267A2EF6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2001/XMLSchema-instance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E6A924-3316-42AA-8122-43C629AC70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818200-7864-4AB4-8B88-5A86433DCE17}">
  <ds:schemaRefs>
    <ds:schemaRef ds:uri="http://schemas.microsoft.com/office/2006/metadata/properties"/>
    <ds:schemaRef ds:uri="http://www.w3.org/2001/XMLSchema-instance"/>
    <ds:schemaRef ds:uri="http://schemas.microsoft.com/office/infopath/2007/PartnerControls"/>
    <ds:schemaRef ds:uri="b3ef1202-6da4-439b-bd9c-0f518e8f8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onlyoffice/9.0.0.168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G1 Vladimir Todorović</cp:lastModifiedBy>
  <cp:revision>5</cp:revision>
  <dcterms:created xsi:type="dcterms:W3CDTF">2025-04-13T09:22:00Z</dcterms:created>
  <dcterms:modified xsi:type="dcterms:W3CDTF">2025-08-11T13:32:54Z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